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A5" w:rsidRDefault="00221DA5" w:rsidP="00221DA5">
      <w:pPr>
        <w:spacing w:line="360" w:lineRule="auto"/>
        <w:jc w:val="left"/>
        <w:rPr>
          <w:rFonts w:ascii="华文仿宋" w:eastAsia="华文仿宋" w:hAnsi="华文仿宋" w:cs="华文仿宋"/>
          <w:b/>
          <w:bCs/>
          <w:sz w:val="32"/>
          <w:szCs w:val="32"/>
        </w:rPr>
      </w:pPr>
      <w:r>
        <w:rPr>
          <w:rFonts w:ascii="华文仿宋" w:eastAsia="华文仿宋" w:hAnsi="华文仿宋" w:cs="华文仿宋" w:hint="eastAsia"/>
          <w:b/>
          <w:bCs/>
          <w:sz w:val="32"/>
          <w:szCs w:val="32"/>
        </w:rPr>
        <w:t>附件1</w:t>
      </w:r>
      <w:r>
        <w:rPr>
          <w:rFonts w:ascii="华文仿宋" w:eastAsia="华文仿宋" w:hAnsi="华文仿宋" w:cs="华文仿宋"/>
          <w:b/>
          <w:bCs/>
          <w:sz w:val="32"/>
          <w:szCs w:val="32"/>
        </w:rPr>
        <w:t xml:space="preserve"> </w:t>
      </w:r>
    </w:p>
    <w:p w:rsidR="00221DA5" w:rsidRPr="004867C5" w:rsidRDefault="00221DA5" w:rsidP="00221DA5">
      <w:pPr>
        <w:spacing w:line="360" w:lineRule="auto"/>
        <w:jc w:val="center"/>
        <w:rPr>
          <w:rFonts w:ascii="华文仿宋" w:eastAsia="华文仿宋" w:hAnsi="华文仿宋" w:cs="华文仿宋"/>
          <w:b/>
          <w:bCs/>
          <w:sz w:val="32"/>
          <w:szCs w:val="32"/>
        </w:rPr>
      </w:pPr>
      <w:r>
        <w:rPr>
          <w:rFonts w:ascii="方正小标宋简体" w:eastAsia="方正小标宋简体" w:hAnsi="方正小标宋简体" w:cs="方正小标宋简体" w:hint="eastAsia"/>
          <w:sz w:val="36"/>
          <w:szCs w:val="36"/>
        </w:rPr>
        <w:t>参展报名表</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260"/>
        <w:gridCol w:w="1566"/>
        <w:gridCol w:w="1105"/>
        <w:gridCol w:w="284"/>
        <w:gridCol w:w="24"/>
        <w:gridCol w:w="1589"/>
        <w:gridCol w:w="707"/>
        <w:gridCol w:w="89"/>
        <w:gridCol w:w="2196"/>
      </w:tblGrid>
      <w:tr w:rsidR="00221DA5" w:rsidTr="00480567">
        <w:trPr>
          <w:trHeight w:val="702"/>
          <w:jc w:val="center"/>
        </w:trPr>
        <w:tc>
          <w:tcPr>
            <w:tcW w:w="900" w:type="dxa"/>
            <w:vAlign w:val="center"/>
          </w:tcPr>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展会名称</w:t>
            </w:r>
          </w:p>
        </w:tc>
        <w:tc>
          <w:tcPr>
            <w:tcW w:w="8820" w:type="dxa"/>
            <w:gridSpan w:val="9"/>
            <w:vAlign w:val="center"/>
          </w:tcPr>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摩洛哥中国贸易展</w:t>
            </w:r>
          </w:p>
        </w:tc>
      </w:tr>
      <w:tr w:rsidR="00221DA5" w:rsidTr="00480567">
        <w:trPr>
          <w:cantSplit/>
          <w:trHeight w:val="379"/>
          <w:jc w:val="center"/>
        </w:trPr>
        <w:tc>
          <w:tcPr>
            <w:tcW w:w="900" w:type="dxa"/>
            <w:vMerge w:val="restart"/>
            <w:vAlign w:val="center"/>
          </w:tcPr>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参</w:t>
            </w:r>
          </w:p>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展</w:t>
            </w:r>
          </w:p>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单</w:t>
            </w:r>
          </w:p>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位</w:t>
            </w:r>
          </w:p>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信</w:t>
            </w:r>
          </w:p>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息</w:t>
            </w:r>
          </w:p>
        </w:tc>
        <w:tc>
          <w:tcPr>
            <w:tcW w:w="1260" w:type="dxa"/>
            <w:vMerge w:val="restart"/>
            <w:vAlign w:val="center"/>
          </w:tcPr>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名称</w:t>
            </w:r>
          </w:p>
        </w:tc>
        <w:tc>
          <w:tcPr>
            <w:tcW w:w="7560" w:type="dxa"/>
            <w:gridSpan w:val="8"/>
            <w:vAlign w:val="center"/>
          </w:tcPr>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 xml:space="preserve">中文：                            </w:t>
            </w:r>
          </w:p>
        </w:tc>
      </w:tr>
      <w:tr w:rsidR="00221DA5" w:rsidTr="00480567">
        <w:trPr>
          <w:cantSplit/>
          <w:trHeight w:val="399"/>
          <w:jc w:val="center"/>
        </w:trPr>
        <w:tc>
          <w:tcPr>
            <w:tcW w:w="900" w:type="dxa"/>
            <w:vMerge/>
            <w:vAlign w:val="center"/>
          </w:tcPr>
          <w:p w:rsidR="00221DA5" w:rsidRDefault="00221DA5" w:rsidP="00480567">
            <w:pPr>
              <w:jc w:val="center"/>
              <w:rPr>
                <w:rFonts w:ascii="仿宋_GB2312" w:eastAsia="仿宋_GB2312" w:hAnsi="仿宋_GB2312" w:cs="仿宋_GB2312"/>
                <w:sz w:val="24"/>
              </w:rPr>
            </w:pPr>
          </w:p>
        </w:tc>
        <w:tc>
          <w:tcPr>
            <w:tcW w:w="1260" w:type="dxa"/>
            <w:vMerge/>
            <w:vAlign w:val="center"/>
          </w:tcPr>
          <w:p w:rsidR="00221DA5" w:rsidRDefault="00221DA5" w:rsidP="00480567">
            <w:pPr>
              <w:jc w:val="center"/>
              <w:rPr>
                <w:rFonts w:ascii="仿宋_GB2312" w:eastAsia="仿宋_GB2312" w:hAnsi="仿宋_GB2312" w:cs="仿宋_GB2312"/>
                <w:sz w:val="24"/>
              </w:rPr>
            </w:pPr>
          </w:p>
        </w:tc>
        <w:tc>
          <w:tcPr>
            <w:tcW w:w="7560" w:type="dxa"/>
            <w:gridSpan w:val="8"/>
            <w:vAlign w:val="center"/>
          </w:tcPr>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英文：</w:t>
            </w:r>
          </w:p>
        </w:tc>
      </w:tr>
      <w:tr w:rsidR="00221DA5" w:rsidTr="00480567">
        <w:trPr>
          <w:cantSplit/>
          <w:trHeight w:val="357"/>
          <w:jc w:val="center"/>
        </w:trPr>
        <w:tc>
          <w:tcPr>
            <w:tcW w:w="900" w:type="dxa"/>
            <w:vMerge/>
            <w:vAlign w:val="center"/>
          </w:tcPr>
          <w:p w:rsidR="00221DA5" w:rsidRDefault="00221DA5" w:rsidP="00480567">
            <w:pPr>
              <w:jc w:val="center"/>
              <w:rPr>
                <w:rFonts w:ascii="仿宋_GB2312" w:eastAsia="仿宋_GB2312" w:hAnsi="仿宋_GB2312" w:cs="仿宋_GB2312"/>
                <w:sz w:val="24"/>
              </w:rPr>
            </w:pPr>
          </w:p>
        </w:tc>
        <w:tc>
          <w:tcPr>
            <w:tcW w:w="1260" w:type="dxa"/>
            <w:vMerge w:val="restart"/>
            <w:vAlign w:val="center"/>
          </w:tcPr>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地址</w:t>
            </w:r>
          </w:p>
        </w:tc>
        <w:tc>
          <w:tcPr>
            <w:tcW w:w="7560" w:type="dxa"/>
            <w:gridSpan w:val="8"/>
            <w:vAlign w:val="center"/>
          </w:tcPr>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中文：</w:t>
            </w:r>
          </w:p>
        </w:tc>
      </w:tr>
      <w:tr w:rsidR="00221DA5" w:rsidTr="00480567">
        <w:trPr>
          <w:cantSplit/>
          <w:trHeight w:val="401"/>
          <w:jc w:val="center"/>
        </w:trPr>
        <w:tc>
          <w:tcPr>
            <w:tcW w:w="900" w:type="dxa"/>
            <w:vMerge/>
            <w:vAlign w:val="center"/>
          </w:tcPr>
          <w:p w:rsidR="00221DA5" w:rsidRDefault="00221DA5" w:rsidP="00480567">
            <w:pPr>
              <w:jc w:val="center"/>
              <w:rPr>
                <w:rFonts w:ascii="仿宋_GB2312" w:eastAsia="仿宋_GB2312" w:hAnsi="仿宋_GB2312" w:cs="仿宋_GB2312"/>
                <w:sz w:val="24"/>
              </w:rPr>
            </w:pPr>
          </w:p>
        </w:tc>
        <w:tc>
          <w:tcPr>
            <w:tcW w:w="1260" w:type="dxa"/>
            <w:vMerge/>
            <w:vAlign w:val="center"/>
          </w:tcPr>
          <w:p w:rsidR="00221DA5" w:rsidRDefault="00221DA5" w:rsidP="00480567">
            <w:pPr>
              <w:jc w:val="center"/>
              <w:rPr>
                <w:rFonts w:ascii="仿宋_GB2312" w:eastAsia="仿宋_GB2312" w:hAnsi="仿宋_GB2312" w:cs="仿宋_GB2312"/>
                <w:sz w:val="24"/>
              </w:rPr>
            </w:pPr>
          </w:p>
        </w:tc>
        <w:tc>
          <w:tcPr>
            <w:tcW w:w="7560" w:type="dxa"/>
            <w:gridSpan w:val="8"/>
            <w:vAlign w:val="center"/>
          </w:tcPr>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英文：</w:t>
            </w:r>
          </w:p>
        </w:tc>
      </w:tr>
      <w:tr w:rsidR="00221DA5" w:rsidTr="00480567">
        <w:trPr>
          <w:cantSplit/>
          <w:trHeight w:val="463"/>
          <w:jc w:val="center"/>
        </w:trPr>
        <w:tc>
          <w:tcPr>
            <w:tcW w:w="900" w:type="dxa"/>
            <w:vMerge/>
            <w:vAlign w:val="center"/>
          </w:tcPr>
          <w:p w:rsidR="00221DA5" w:rsidRDefault="00221DA5" w:rsidP="00480567">
            <w:pPr>
              <w:jc w:val="center"/>
              <w:rPr>
                <w:rFonts w:ascii="仿宋_GB2312" w:eastAsia="仿宋_GB2312" w:hAnsi="仿宋_GB2312" w:cs="仿宋_GB2312"/>
                <w:sz w:val="24"/>
              </w:rPr>
            </w:pPr>
          </w:p>
        </w:tc>
        <w:tc>
          <w:tcPr>
            <w:tcW w:w="1260" w:type="dxa"/>
            <w:vAlign w:val="center"/>
          </w:tcPr>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邮编</w:t>
            </w:r>
          </w:p>
        </w:tc>
        <w:tc>
          <w:tcPr>
            <w:tcW w:w="1566" w:type="dxa"/>
            <w:vAlign w:val="center"/>
          </w:tcPr>
          <w:p w:rsidR="00221DA5" w:rsidRDefault="00221DA5" w:rsidP="00480567">
            <w:pPr>
              <w:jc w:val="center"/>
              <w:rPr>
                <w:rFonts w:ascii="仿宋_GB2312" w:eastAsia="仿宋_GB2312" w:hAnsi="仿宋_GB2312" w:cs="仿宋_GB2312"/>
                <w:sz w:val="24"/>
              </w:rPr>
            </w:pPr>
          </w:p>
        </w:tc>
        <w:tc>
          <w:tcPr>
            <w:tcW w:w="1105" w:type="dxa"/>
            <w:vAlign w:val="center"/>
          </w:tcPr>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联系人</w:t>
            </w:r>
          </w:p>
        </w:tc>
        <w:tc>
          <w:tcPr>
            <w:tcW w:w="1897" w:type="dxa"/>
            <w:gridSpan w:val="3"/>
            <w:vAlign w:val="center"/>
          </w:tcPr>
          <w:p w:rsidR="00221DA5" w:rsidRDefault="00221DA5" w:rsidP="00480567">
            <w:pPr>
              <w:jc w:val="center"/>
              <w:rPr>
                <w:rFonts w:ascii="仿宋_GB2312" w:eastAsia="仿宋_GB2312" w:hAnsi="仿宋_GB2312" w:cs="仿宋_GB2312"/>
                <w:sz w:val="24"/>
              </w:rPr>
            </w:pPr>
          </w:p>
        </w:tc>
        <w:tc>
          <w:tcPr>
            <w:tcW w:w="707" w:type="dxa"/>
            <w:vAlign w:val="center"/>
          </w:tcPr>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2285" w:type="dxa"/>
            <w:gridSpan w:val="2"/>
            <w:vAlign w:val="center"/>
          </w:tcPr>
          <w:p w:rsidR="00221DA5" w:rsidRDefault="00221DA5" w:rsidP="00480567">
            <w:pPr>
              <w:jc w:val="center"/>
              <w:rPr>
                <w:rFonts w:ascii="仿宋_GB2312" w:eastAsia="仿宋_GB2312" w:hAnsi="仿宋_GB2312" w:cs="仿宋_GB2312"/>
                <w:sz w:val="24"/>
              </w:rPr>
            </w:pPr>
          </w:p>
        </w:tc>
      </w:tr>
      <w:tr w:rsidR="00221DA5" w:rsidTr="00480567">
        <w:trPr>
          <w:cantSplit/>
          <w:trHeight w:val="440"/>
          <w:jc w:val="center"/>
        </w:trPr>
        <w:tc>
          <w:tcPr>
            <w:tcW w:w="900" w:type="dxa"/>
            <w:vMerge/>
            <w:vAlign w:val="center"/>
          </w:tcPr>
          <w:p w:rsidR="00221DA5" w:rsidRDefault="00221DA5" w:rsidP="00480567">
            <w:pPr>
              <w:jc w:val="center"/>
              <w:rPr>
                <w:rFonts w:ascii="仿宋_GB2312" w:eastAsia="仿宋_GB2312" w:hAnsi="仿宋_GB2312" w:cs="仿宋_GB2312"/>
                <w:sz w:val="24"/>
              </w:rPr>
            </w:pPr>
          </w:p>
        </w:tc>
        <w:tc>
          <w:tcPr>
            <w:tcW w:w="1260" w:type="dxa"/>
            <w:vAlign w:val="center"/>
          </w:tcPr>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电话</w:t>
            </w:r>
          </w:p>
        </w:tc>
        <w:tc>
          <w:tcPr>
            <w:tcW w:w="1566" w:type="dxa"/>
            <w:vAlign w:val="center"/>
          </w:tcPr>
          <w:p w:rsidR="00221DA5" w:rsidRDefault="00221DA5" w:rsidP="00480567">
            <w:pPr>
              <w:jc w:val="center"/>
              <w:rPr>
                <w:rFonts w:ascii="仿宋_GB2312" w:eastAsia="仿宋_GB2312" w:hAnsi="仿宋_GB2312" w:cs="仿宋_GB2312"/>
                <w:sz w:val="24"/>
              </w:rPr>
            </w:pPr>
          </w:p>
        </w:tc>
        <w:tc>
          <w:tcPr>
            <w:tcW w:w="1105" w:type="dxa"/>
            <w:vAlign w:val="center"/>
          </w:tcPr>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传真</w:t>
            </w:r>
          </w:p>
        </w:tc>
        <w:tc>
          <w:tcPr>
            <w:tcW w:w="1897" w:type="dxa"/>
            <w:gridSpan w:val="3"/>
            <w:vAlign w:val="center"/>
          </w:tcPr>
          <w:p w:rsidR="00221DA5" w:rsidRDefault="00221DA5" w:rsidP="00480567">
            <w:pPr>
              <w:jc w:val="center"/>
              <w:rPr>
                <w:rFonts w:ascii="仿宋_GB2312" w:eastAsia="仿宋_GB2312" w:hAnsi="仿宋_GB2312" w:cs="仿宋_GB2312"/>
                <w:sz w:val="24"/>
              </w:rPr>
            </w:pPr>
          </w:p>
        </w:tc>
        <w:tc>
          <w:tcPr>
            <w:tcW w:w="707" w:type="dxa"/>
            <w:vAlign w:val="center"/>
          </w:tcPr>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2285" w:type="dxa"/>
            <w:gridSpan w:val="2"/>
            <w:vAlign w:val="center"/>
          </w:tcPr>
          <w:p w:rsidR="00221DA5" w:rsidRDefault="00221DA5" w:rsidP="00480567">
            <w:pPr>
              <w:jc w:val="center"/>
              <w:rPr>
                <w:rFonts w:ascii="仿宋_GB2312" w:eastAsia="仿宋_GB2312" w:hAnsi="仿宋_GB2312" w:cs="仿宋_GB2312"/>
                <w:sz w:val="24"/>
              </w:rPr>
            </w:pPr>
          </w:p>
        </w:tc>
      </w:tr>
      <w:tr w:rsidR="00221DA5" w:rsidTr="00480567">
        <w:trPr>
          <w:cantSplit/>
          <w:trHeight w:val="400"/>
          <w:jc w:val="center"/>
        </w:trPr>
        <w:tc>
          <w:tcPr>
            <w:tcW w:w="900" w:type="dxa"/>
            <w:vMerge/>
            <w:vAlign w:val="center"/>
          </w:tcPr>
          <w:p w:rsidR="00221DA5" w:rsidRDefault="00221DA5" w:rsidP="00480567">
            <w:pPr>
              <w:jc w:val="center"/>
              <w:rPr>
                <w:rFonts w:ascii="仿宋_GB2312" w:eastAsia="仿宋_GB2312" w:hAnsi="仿宋_GB2312" w:cs="仿宋_GB2312"/>
                <w:sz w:val="24"/>
              </w:rPr>
            </w:pPr>
          </w:p>
        </w:tc>
        <w:tc>
          <w:tcPr>
            <w:tcW w:w="1260" w:type="dxa"/>
            <w:vAlign w:val="center"/>
          </w:tcPr>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E-mail</w:t>
            </w:r>
          </w:p>
        </w:tc>
        <w:tc>
          <w:tcPr>
            <w:tcW w:w="7560" w:type="dxa"/>
            <w:gridSpan w:val="8"/>
            <w:vAlign w:val="center"/>
          </w:tcPr>
          <w:p w:rsidR="00221DA5" w:rsidRDefault="00221DA5" w:rsidP="00480567">
            <w:pPr>
              <w:jc w:val="center"/>
              <w:rPr>
                <w:rFonts w:ascii="仿宋_GB2312" w:eastAsia="仿宋_GB2312" w:hAnsi="仿宋_GB2312" w:cs="仿宋_GB2312"/>
                <w:sz w:val="24"/>
              </w:rPr>
            </w:pPr>
          </w:p>
        </w:tc>
      </w:tr>
      <w:tr w:rsidR="00221DA5" w:rsidTr="00480567">
        <w:trPr>
          <w:cantSplit/>
          <w:trHeight w:val="357"/>
          <w:jc w:val="center"/>
        </w:trPr>
        <w:tc>
          <w:tcPr>
            <w:tcW w:w="900" w:type="dxa"/>
            <w:vMerge/>
            <w:vAlign w:val="center"/>
          </w:tcPr>
          <w:p w:rsidR="00221DA5" w:rsidRDefault="00221DA5" w:rsidP="00480567">
            <w:pPr>
              <w:jc w:val="center"/>
              <w:rPr>
                <w:rFonts w:ascii="仿宋_GB2312" w:eastAsia="仿宋_GB2312" w:hAnsi="仿宋_GB2312" w:cs="仿宋_GB2312"/>
                <w:sz w:val="24"/>
              </w:rPr>
            </w:pPr>
          </w:p>
        </w:tc>
        <w:tc>
          <w:tcPr>
            <w:tcW w:w="1260" w:type="dxa"/>
            <w:vMerge w:val="restart"/>
            <w:vAlign w:val="center"/>
          </w:tcPr>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申请展</w:t>
            </w:r>
          </w:p>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位数量</w:t>
            </w:r>
          </w:p>
        </w:tc>
        <w:tc>
          <w:tcPr>
            <w:tcW w:w="2955" w:type="dxa"/>
            <w:gridSpan w:val="3"/>
            <w:vMerge w:val="restart"/>
            <w:vAlign w:val="center"/>
          </w:tcPr>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 xml:space="preserve">                 /个        </w:t>
            </w:r>
          </w:p>
        </w:tc>
        <w:tc>
          <w:tcPr>
            <w:tcW w:w="2409" w:type="dxa"/>
            <w:gridSpan w:val="4"/>
            <w:vMerge w:val="restart"/>
            <w:vAlign w:val="center"/>
          </w:tcPr>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随团参展人数</w:t>
            </w:r>
          </w:p>
        </w:tc>
        <w:tc>
          <w:tcPr>
            <w:tcW w:w="2196" w:type="dxa"/>
            <w:vAlign w:val="center"/>
          </w:tcPr>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因公护照：    人</w:t>
            </w:r>
          </w:p>
        </w:tc>
      </w:tr>
      <w:tr w:rsidR="00221DA5" w:rsidTr="00480567">
        <w:trPr>
          <w:cantSplit/>
          <w:trHeight w:val="399"/>
          <w:jc w:val="center"/>
        </w:trPr>
        <w:tc>
          <w:tcPr>
            <w:tcW w:w="900" w:type="dxa"/>
            <w:vMerge/>
            <w:vAlign w:val="center"/>
          </w:tcPr>
          <w:p w:rsidR="00221DA5" w:rsidRDefault="00221DA5" w:rsidP="00480567">
            <w:pPr>
              <w:jc w:val="center"/>
              <w:rPr>
                <w:rFonts w:ascii="仿宋_GB2312" w:eastAsia="仿宋_GB2312" w:hAnsi="仿宋_GB2312" w:cs="仿宋_GB2312"/>
                <w:sz w:val="24"/>
              </w:rPr>
            </w:pPr>
          </w:p>
        </w:tc>
        <w:tc>
          <w:tcPr>
            <w:tcW w:w="1260" w:type="dxa"/>
            <w:vMerge/>
            <w:vAlign w:val="center"/>
          </w:tcPr>
          <w:p w:rsidR="00221DA5" w:rsidRDefault="00221DA5" w:rsidP="00480567">
            <w:pPr>
              <w:jc w:val="center"/>
              <w:rPr>
                <w:rFonts w:ascii="仿宋_GB2312" w:eastAsia="仿宋_GB2312" w:hAnsi="仿宋_GB2312" w:cs="仿宋_GB2312"/>
                <w:sz w:val="24"/>
              </w:rPr>
            </w:pPr>
          </w:p>
        </w:tc>
        <w:tc>
          <w:tcPr>
            <w:tcW w:w="2955" w:type="dxa"/>
            <w:gridSpan w:val="3"/>
            <w:vMerge/>
            <w:vAlign w:val="center"/>
          </w:tcPr>
          <w:p w:rsidR="00221DA5" w:rsidRDefault="00221DA5" w:rsidP="00480567">
            <w:pPr>
              <w:rPr>
                <w:rFonts w:ascii="仿宋_GB2312" w:eastAsia="仿宋_GB2312" w:hAnsi="仿宋_GB2312" w:cs="仿宋_GB2312"/>
                <w:sz w:val="24"/>
              </w:rPr>
            </w:pPr>
          </w:p>
        </w:tc>
        <w:tc>
          <w:tcPr>
            <w:tcW w:w="2409" w:type="dxa"/>
            <w:gridSpan w:val="4"/>
            <w:vMerge/>
            <w:vAlign w:val="center"/>
          </w:tcPr>
          <w:p w:rsidR="00221DA5" w:rsidRDefault="00221DA5" w:rsidP="00480567">
            <w:pPr>
              <w:jc w:val="center"/>
              <w:rPr>
                <w:rFonts w:ascii="仿宋_GB2312" w:eastAsia="仿宋_GB2312" w:hAnsi="仿宋_GB2312" w:cs="仿宋_GB2312"/>
                <w:sz w:val="24"/>
              </w:rPr>
            </w:pPr>
          </w:p>
        </w:tc>
        <w:tc>
          <w:tcPr>
            <w:tcW w:w="2196" w:type="dxa"/>
            <w:vAlign w:val="center"/>
          </w:tcPr>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因私护照：    人</w:t>
            </w:r>
          </w:p>
        </w:tc>
      </w:tr>
      <w:tr w:rsidR="00221DA5" w:rsidTr="00480567">
        <w:trPr>
          <w:cantSplit/>
          <w:trHeight w:val="707"/>
          <w:jc w:val="center"/>
        </w:trPr>
        <w:tc>
          <w:tcPr>
            <w:tcW w:w="900" w:type="dxa"/>
            <w:vMerge/>
            <w:vAlign w:val="center"/>
          </w:tcPr>
          <w:p w:rsidR="00221DA5" w:rsidRDefault="00221DA5" w:rsidP="00480567">
            <w:pPr>
              <w:jc w:val="center"/>
              <w:rPr>
                <w:rFonts w:ascii="仿宋_GB2312" w:eastAsia="仿宋_GB2312" w:hAnsi="仿宋_GB2312" w:cs="仿宋_GB2312"/>
                <w:sz w:val="24"/>
              </w:rPr>
            </w:pPr>
          </w:p>
        </w:tc>
        <w:tc>
          <w:tcPr>
            <w:tcW w:w="8820" w:type="dxa"/>
            <w:gridSpan w:val="9"/>
          </w:tcPr>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展位费：41000元/个（9㎡标准展位，含基本搭建）；</w:t>
            </w:r>
          </w:p>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人员费：28800元/人（行程：全程10天）；</w:t>
            </w:r>
          </w:p>
        </w:tc>
      </w:tr>
      <w:tr w:rsidR="00221DA5" w:rsidTr="00480567">
        <w:trPr>
          <w:cantSplit/>
          <w:trHeight w:val="459"/>
          <w:jc w:val="center"/>
        </w:trPr>
        <w:tc>
          <w:tcPr>
            <w:tcW w:w="900" w:type="dxa"/>
            <w:vMerge w:val="restart"/>
            <w:vAlign w:val="center"/>
          </w:tcPr>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主要</w:t>
            </w:r>
          </w:p>
          <w:p w:rsidR="00221DA5" w:rsidRDefault="00221DA5" w:rsidP="00480567">
            <w:pPr>
              <w:jc w:val="center"/>
              <w:rPr>
                <w:rFonts w:ascii="仿宋_GB2312" w:eastAsia="仿宋_GB2312" w:hAnsi="仿宋_GB2312" w:cs="仿宋_GB2312"/>
                <w:sz w:val="24"/>
              </w:rPr>
            </w:pPr>
            <w:r>
              <w:rPr>
                <w:rFonts w:ascii="仿宋_GB2312" w:eastAsia="仿宋_GB2312" w:hAnsi="仿宋_GB2312" w:cs="仿宋_GB2312" w:hint="eastAsia"/>
                <w:sz w:val="24"/>
              </w:rPr>
              <w:t>展品</w:t>
            </w:r>
          </w:p>
        </w:tc>
        <w:tc>
          <w:tcPr>
            <w:tcW w:w="8820" w:type="dxa"/>
            <w:gridSpan w:val="9"/>
            <w:vAlign w:val="center"/>
          </w:tcPr>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中文：</w:t>
            </w:r>
          </w:p>
        </w:tc>
      </w:tr>
      <w:tr w:rsidR="00221DA5" w:rsidTr="00480567">
        <w:trPr>
          <w:cantSplit/>
          <w:trHeight w:val="451"/>
          <w:jc w:val="center"/>
        </w:trPr>
        <w:tc>
          <w:tcPr>
            <w:tcW w:w="900" w:type="dxa"/>
            <w:vMerge/>
            <w:vAlign w:val="center"/>
          </w:tcPr>
          <w:p w:rsidR="00221DA5" w:rsidRDefault="00221DA5" w:rsidP="00480567">
            <w:pPr>
              <w:jc w:val="center"/>
              <w:rPr>
                <w:rFonts w:ascii="仿宋_GB2312" w:eastAsia="仿宋_GB2312" w:hAnsi="仿宋_GB2312" w:cs="仿宋_GB2312"/>
                <w:sz w:val="24"/>
              </w:rPr>
            </w:pPr>
          </w:p>
        </w:tc>
        <w:tc>
          <w:tcPr>
            <w:tcW w:w="8820" w:type="dxa"/>
            <w:gridSpan w:val="9"/>
            <w:vAlign w:val="center"/>
          </w:tcPr>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英文：</w:t>
            </w:r>
          </w:p>
        </w:tc>
      </w:tr>
      <w:tr w:rsidR="00221DA5" w:rsidTr="00480567">
        <w:trPr>
          <w:trHeight w:val="495"/>
          <w:jc w:val="center"/>
        </w:trPr>
        <w:tc>
          <w:tcPr>
            <w:tcW w:w="5139" w:type="dxa"/>
            <w:gridSpan w:val="6"/>
          </w:tcPr>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参展负责人签字：</w:t>
            </w:r>
          </w:p>
        </w:tc>
        <w:tc>
          <w:tcPr>
            <w:tcW w:w="4581" w:type="dxa"/>
            <w:gridSpan w:val="4"/>
          </w:tcPr>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参展单位法人代表签字：</w:t>
            </w:r>
          </w:p>
        </w:tc>
      </w:tr>
      <w:tr w:rsidR="00221DA5" w:rsidTr="00480567">
        <w:trPr>
          <w:trHeight w:val="1061"/>
          <w:jc w:val="center"/>
        </w:trPr>
        <w:tc>
          <w:tcPr>
            <w:tcW w:w="5139" w:type="dxa"/>
            <w:gridSpan w:val="6"/>
            <w:vAlign w:val="center"/>
          </w:tcPr>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组展单位公章</w:t>
            </w:r>
          </w:p>
          <w:p w:rsidR="00221DA5" w:rsidRDefault="00221DA5" w:rsidP="00480567">
            <w:pPr>
              <w:ind w:firstLineChars="1050" w:firstLine="2520"/>
              <w:jc w:val="left"/>
              <w:rPr>
                <w:rFonts w:ascii="仿宋_GB2312" w:eastAsia="仿宋_GB2312" w:hAnsi="仿宋_GB2312" w:cs="仿宋_GB2312"/>
                <w:sz w:val="24"/>
              </w:rPr>
            </w:pPr>
          </w:p>
          <w:p w:rsidR="00221DA5" w:rsidRDefault="00221DA5" w:rsidP="00480567">
            <w:pPr>
              <w:ind w:firstLineChars="1200" w:firstLine="2880"/>
              <w:rPr>
                <w:rFonts w:ascii="仿宋_GB2312" w:eastAsia="仿宋_GB2312" w:hAnsi="仿宋_GB2312" w:cs="仿宋_GB2312"/>
                <w:sz w:val="24"/>
              </w:rPr>
            </w:pPr>
            <w:r>
              <w:rPr>
                <w:rFonts w:ascii="仿宋_GB2312" w:eastAsia="仿宋_GB2312" w:hAnsi="仿宋_GB2312" w:cs="仿宋_GB2312" w:hint="eastAsia"/>
                <w:sz w:val="24"/>
              </w:rPr>
              <w:t>年     月     日</w:t>
            </w:r>
          </w:p>
        </w:tc>
        <w:tc>
          <w:tcPr>
            <w:tcW w:w="4581" w:type="dxa"/>
            <w:gridSpan w:val="4"/>
          </w:tcPr>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参展单位公章</w:t>
            </w:r>
          </w:p>
          <w:p w:rsidR="00221DA5" w:rsidRDefault="00221DA5" w:rsidP="00480567">
            <w:pPr>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221DA5" w:rsidRDefault="00221DA5" w:rsidP="00480567">
            <w:pPr>
              <w:jc w:val="right"/>
              <w:rPr>
                <w:rFonts w:ascii="仿宋_GB2312" w:eastAsia="仿宋_GB2312" w:hAnsi="仿宋_GB2312" w:cs="仿宋_GB2312"/>
                <w:sz w:val="24"/>
              </w:rPr>
            </w:pPr>
            <w:r>
              <w:rPr>
                <w:rFonts w:ascii="仿宋_GB2312" w:eastAsia="仿宋_GB2312" w:hAnsi="仿宋_GB2312" w:cs="仿宋_GB2312" w:hint="eastAsia"/>
                <w:sz w:val="24"/>
              </w:rPr>
              <w:t xml:space="preserve"> 年     月     日</w:t>
            </w:r>
          </w:p>
        </w:tc>
      </w:tr>
    </w:tbl>
    <w:p w:rsidR="00221DA5" w:rsidRDefault="00221DA5" w:rsidP="00221DA5">
      <w:pPr>
        <w:snapToGrid w:val="0"/>
        <w:spacing w:line="320" w:lineRule="exact"/>
        <w:ind w:leftChars="-200" w:left="-420"/>
        <w:jc w:val="left"/>
        <w:rPr>
          <w:rFonts w:ascii="Verdana" w:eastAsia="新宋体" w:hAnsi="Verdana" w:cs="Microsoft Sans Serif"/>
          <w:b/>
          <w:szCs w:val="21"/>
        </w:rPr>
      </w:pPr>
      <w:r>
        <w:rPr>
          <w:rFonts w:ascii="Verdana" w:eastAsia="新宋体" w:hAnsi="Verdana" w:cs="Microsoft Sans Serif" w:hint="eastAsia"/>
          <w:b/>
          <w:szCs w:val="21"/>
        </w:rPr>
        <w:t>联系人：</w:t>
      </w:r>
      <w:r>
        <w:rPr>
          <w:rFonts w:ascii="Verdana" w:eastAsia="新宋体" w:hAnsi="Verdana" w:cs="Microsoft Sans Serif" w:hint="eastAsia"/>
          <w:b/>
          <w:szCs w:val="21"/>
        </w:rPr>
        <w:t xml:space="preserve">                              </w:t>
      </w:r>
      <w:r>
        <w:rPr>
          <w:rFonts w:ascii="Verdana" w:eastAsia="新宋体" w:hAnsi="Verdana" w:cs="Microsoft Sans Serif" w:hint="eastAsia"/>
          <w:b/>
          <w:szCs w:val="21"/>
        </w:rPr>
        <w:t>手机：</w:t>
      </w:r>
      <w:r>
        <w:rPr>
          <w:rFonts w:ascii="Verdana" w:eastAsia="新宋体" w:hAnsi="Verdana" w:cs="Microsoft Sans Serif" w:hint="eastAsia"/>
          <w:b/>
          <w:szCs w:val="21"/>
        </w:rPr>
        <w:t xml:space="preserve">                               </w:t>
      </w:r>
      <w:r>
        <w:rPr>
          <w:rFonts w:ascii="Verdana" w:eastAsia="新宋体" w:hAnsi="Verdana" w:cs="Microsoft Sans Serif" w:hint="eastAsia"/>
          <w:b/>
          <w:szCs w:val="21"/>
        </w:rPr>
        <w:t>座机：</w:t>
      </w:r>
    </w:p>
    <w:p w:rsidR="00221DA5" w:rsidRDefault="00221DA5" w:rsidP="00221DA5">
      <w:pPr>
        <w:snapToGrid w:val="0"/>
        <w:spacing w:line="320" w:lineRule="exact"/>
        <w:ind w:leftChars="-200" w:left="-420"/>
        <w:jc w:val="left"/>
        <w:rPr>
          <w:rFonts w:ascii="Verdana" w:eastAsia="新宋体" w:hAnsi="Verdana" w:cs="Microsoft Sans Serif"/>
          <w:b/>
          <w:szCs w:val="21"/>
        </w:rPr>
      </w:pPr>
    </w:p>
    <w:p w:rsidR="00221DA5" w:rsidRDefault="00221DA5" w:rsidP="00221DA5">
      <w:pPr>
        <w:snapToGrid w:val="0"/>
        <w:spacing w:line="320" w:lineRule="exact"/>
        <w:ind w:leftChars="-200" w:left="-420"/>
        <w:jc w:val="left"/>
        <w:rPr>
          <w:rFonts w:ascii="Verdana" w:eastAsia="新宋体" w:hAnsi="Verdana" w:cs="Microsoft Sans Serif"/>
          <w:b/>
          <w:szCs w:val="21"/>
        </w:rPr>
      </w:pPr>
      <w:r>
        <w:rPr>
          <w:rFonts w:ascii="Verdana" w:eastAsia="新宋体" w:hAnsi="Verdana" w:cs="Microsoft Sans Serif" w:hint="eastAsia"/>
          <w:b/>
          <w:szCs w:val="21"/>
        </w:rPr>
        <w:lastRenderedPageBreak/>
        <w:t>参展须知：</w:t>
      </w:r>
      <w:r>
        <w:rPr>
          <w:rFonts w:ascii="Verdana" w:eastAsia="新宋体" w:hAnsi="Verdana" w:cs="Microsoft Sans Serif" w:hint="eastAsia"/>
          <w:b/>
          <w:szCs w:val="21"/>
        </w:rPr>
        <w:t xml:space="preserve"> </w:t>
      </w:r>
    </w:p>
    <w:p w:rsidR="00221DA5" w:rsidRDefault="00221DA5" w:rsidP="00221DA5">
      <w:pPr>
        <w:snapToGrid w:val="0"/>
        <w:spacing w:line="320" w:lineRule="exact"/>
        <w:ind w:leftChars="-200" w:left="-420" w:rightChars="-188" w:right="-395"/>
        <w:jc w:val="left"/>
        <w:rPr>
          <w:rFonts w:ascii="宋体" w:hAnsi="宋体" w:cs="Microsoft Sans Serif"/>
          <w:sz w:val="18"/>
          <w:szCs w:val="18"/>
        </w:rPr>
      </w:pPr>
      <w:r>
        <w:rPr>
          <w:rFonts w:ascii="宋体" w:hAnsi="宋体" w:cs="Microsoft Sans Serif"/>
          <w:sz w:val="18"/>
          <w:szCs w:val="18"/>
        </w:rPr>
        <w:t>1</w:t>
      </w:r>
      <w:r>
        <w:rPr>
          <w:rFonts w:ascii="宋体" w:hAnsi="宋体" w:cs="Microsoft Sans Serif" w:hint="eastAsia"/>
          <w:sz w:val="18"/>
          <w:szCs w:val="18"/>
        </w:rPr>
        <w:t>、参展申请得到组展单位确认后，请参展单位按照付款通知要求电汇展位定金到组展单位指定账户。参展单位逾期付款的将视为放弃参展，原定展位组展方有权另行安排。</w:t>
      </w:r>
    </w:p>
    <w:p w:rsidR="00221DA5" w:rsidRDefault="00221DA5" w:rsidP="00221DA5">
      <w:pPr>
        <w:snapToGrid w:val="0"/>
        <w:spacing w:line="320" w:lineRule="exact"/>
        <w:ind w:leftChars="-200" w:left="-420" w:rightChars="-188" w:right="-395"/>
        <w:jc w:val="left"/>
        <w:rPr>
          <w:rFonts w:ascii="宋体" w:hAnsi="宋体" w:cs="Microsoft Sans Serif"/>
          <w:sz w:val="18"/>
          <w:szCs w:val="18"/>
        </w:rPr>
      </w:pPr>
      <w:r>
        <w:rPr>
          <w:rFonts w:ascii="宋体" w:hAnsi="宋体" w:cs="Microsoft Sans Serif"/>
          <w:sz w:val="18"/>
          <w:szCs w:val="18"/>
        </w:rPr>
        <w:t>2</w:t>
      </w:r>
      <w:r>
        <w:rPr>
          <w:rFonts w:ascii="宋体" w:hAnsi="宋体" w:cs="Microsoft Sans Serif" w:hint="eastAsia"/>
          <w:sz w:val="18"/>
          <w:szCs w:val="18"/>
        </w:rPr>
        <w:t>、参展单位应当合法参展，严格遵守展会各项规定。并承诺不侵犯他人合法权益（包括但不限于知识产权）。如因参展单位侵权行为而给他人或组展方造成损失的，应独立承担法律责任。</w:t>
      </w:r>
    </w:p>
    <w:p w:rsidR="00221DA5" w:rsidRDefault="00221DA5" w:rsidP="00221DA5">
      <w:pPr>
        <w:snapToGrid w:val="0"/>
        <w:spacing w:line="320" w:lineRule="exact"/>
        <w:ind w:leftChars="-200" w:left="-420" w:rightChars="-188" w:right="-395"/>
        <w:jc w:val="left"/>
        <w:rPr>
          <w:rFonts w:ascii="宋体" w:hAnsi="宋体" w:cs="Microsoft Sans Serif"/>
          <w:sz w:val="18"/>
          <w:szCs w:val="18"/>
        </w:rPr>
      </w:pPr>
      <w:r>
        <w:rPr>
          <w:rFonts w:ascii="宋体" w:hAnsi="宋体" w:cs="Microsoft Sans Serif"/>
          <w:sz w:val="18"/>
          <w:szCs w:val="18"/>
        </w:rPr>
        <w:t>3</w:t>
      </w:r>
      <w:r>
        <w:rPr>
          <w:rFonts w:ascii="宋体" w:hAnsi="宋体" w:cs="Microsoft Sans Serif" w:hint="eastAsia"/>
          <w:sz w:val="18"/>
          <w:szCs w:val="18"/>
        </w:rPr>
        <w:t>、参展单位在确认参展、交纳定金和</w:t>
      </w:r>
      <w:r>
        <w:rPr>
          <w:rFonts w:ascii="宋体" w:hAnsi="宋体" w:cs="Microsoft Sans Serif"/>
          <w:sz w:val="18"/>
          <w:szCs w:val="18"/>
        </w:rPr>
        <w:t>/</w:t>
      </w:r>
      <w:r>
        <w:rPr>
          <w:rFonts w:ascii="宋体" w:hAnsi="宋体" w:cs="Microsoft Sans Serif" w:hint="eastAsia"/>
          <w:sz w:val="18"/>
          <w:szCs w:val="18"/>
        </w:rPr>
        <w:t>或参展费用后又放弃或终止（或低于约定参展面积的</w:t>
      </w:r>
      <w:r>
        <w:rPr>
          <w:rFonts w:ascii="宋体" w:hAnsi="宋体" w:cs="Microsoft Sans Serif"/>
          <w:sz w:val="18"/>
          <w:szCs w:val="18"/>
        </w:rPr>
        <w:t>50%</w:t>
      </w:r>
      <w:r>
        <w:rPr>
          <w:rFonts w:ascii="宋体" w:hAnsi="宋体" w:cs="Microsoft Sans Serif" w:hint="eastAsia"/>
          <w:sz w:val="18"/>
          <w:szCs w:val="18"/>
        </w:rPr>
        <w:t>）参展的，定金和</w:t>
      </w:r>
      <w:r>
        <w:rPr>
          <w:rFonts w:ascii="宋体" w:hAnsi="宋体" w:cs="Microsoft Sans Serif"/>
          <w:sz w:val="18"/>
          <w:szCs w:val="18"/>
        </w:rPr>
        <w:t>/</w:t>
      </w:r>
      <w:r>
        <w:rPr>
          <w:rFonts w:ascii="宋体" w:hAnsi="宋体" w:cs="Microsoft Sans Serif" w:hint="eastAsia"/>
          <w:sz w:val="18"/>
          <w:szCs w:val="18"/>
        </w:rPr>
        <w:t>或参展费用不予退还；给组展方造成损失（包括不限于经济损失）的，组展方保留进一步追究责任的权力。</w:t>
      </w:r>
    </w:p>
    <w:p w:rsidR="00221DA5" w:rsidRDefault="00221DA5" w:rsidP="00221DA5">
      <w:pPr>
        <w:snapToGrid w:val="0"/>
        <w:spacing w:line="320" w:lineRule="exact"/>
        <w:ind w:leftChars="-200" w:left="-420"/>
        <w:jc w:val="left"/>
        <w:rPr>
          <w:rFonts w:ascii="宋体" w:hAnsi="宋体" w:cs="Microsoft Sans Serif"/>
          <w:sz w:val="18"/>
          <w:szCs w:val="18"/>
        </w:rPr>
      </w:pPr>
      <w:r>
        <w:rPr>
          <w:rFonts w:ascii="宋体" w:hAnsi="宋体" w:cs="Microsoft Sans Serif" w:hint="eastAsia"/>
          <w:sz w:val="18"/>
          <w:szCs w:val="18"/>
        </w:rPr>
        <w:t>4、请参展单位根据招展通知及组展单位随后发放的系列通知或文件中规定的时间和要求，提前做好各项准备工作。</w:t>
      </w:r>
    </w:p>
    <w:p w:rsidR="00221DA5" w:rsidRDefault="00221DA5" w:rsidP="00221DA5">
      <w:pPr>
        <w:snapToGrid w:val="0"/>
        <w:spacing w:line="320" w:lineRule="exact"/>
        <w:ind w:leftChars="-200" w:left="-420"/>
        <w:jc w:val="left"/>
        <w:rPr>
          <w:rFonts w:ascii="宋体" w:hAnsi="宋体" w:cs="Microsoft Sans Serif"/>
          <w:sz w:val="18"/>
          <w:szCs w:val="18"/>
        </w:rPr>
      </w:pPr>
      <w:r>
        <w:rPr>
          <w:rFonts w:ascii="宋体" w:hAnsi="宋体" w:cs="Microsoft Sans Serif" w:hint="eastAsia"/>
          <w:sz w:val="18"/>
          <w:szCs w:val="18"/>
        </w:rPr>
        <w:t>5、如实际分配展位面积</w:t>
      </w:r>
      <w:r>
        <w:rPr>
          <w:rFonts w:ascii="宋体" w:hAnsi="宋体" w:cs="Microsoft Sans Serif"/>
          <w:sz w:val="18"/>
          <w:szCs w:val="18"/>
        </w:rPr>
        <w:t>(</w:t>
      </w:r>
      <w:r>
        <w:rPr>
          <w:rFonts w:ascii="宋体" w:hAnsi="宋体" w:cs="Microsoft Sans Serif" w:hint="eastAsia"/>
          <w:sz w:val="18"/>
          <w:szCs w:val="18"/>
        </w:rPr>
        <w:t>或形式</w:t>
      </w:r>
      <w:r>
        <w:rPr>
          <w:rFonts w:ascii="宋体" w:hAnsi="宋体" w:cs="Microsoft Sans Serif"/>
          <w:sz w:val="18"/>
          <w:szCs w:val="18"/>
        </w:rPr>
        <w:t>)</w:t>
      </w:r>
      <w:r>
        <w:rPr>
          <w:rFonts w:ascii="宋体" w:hAnsi="宋体" w:cs="Microsoft Sans Serif" w:hint="eastAsia"/>
          <w:sz w:val="18"/>
          <w:szCs w:val="18"/>
        </w:rPr>
        <w:t>与申请的不一致，应以组展方“展位确认函</w:t>
      </w:r>
      <w:r>
        <w:rPr>
          <w:rFonts w:ascii="宋体" w:cs="Microsoft Sans Serif" w:hint="eastAsia"/>
          <w:sz w:val="18"/>
          <w:szCs w:val="18"/>
        </w:rPr>
        <w:t>”</w:t>
      </w:r>
      <w:r>
        <w:rPr>
          <w:rFonts w:ascii="宋体" w:hAnsi="宋体" w:cs="Microsoft Sans Serif" w:hint="eastAsia"/>
          <w:sz w:val="18"/>
          <w:szCs w:val="18"/>
        </w:rPr>
        <w:t>为准，此函作为本合同的组成部分。</w:t>
      </w:r>
    </w:p>
    <w:p w:rsidR="00221DA5" w:rsidRDefault="00221DA5" w:rsidP="00221DA5">
      <w:pPr>
        <w:snapToGrid w:val="0"/>
        <w:spacing w:line="320" w:lineRule="exact"/>
        <w:ind w:leftChars="-200" w:left="-420" w:rightChars="-188" w:right="-395"/>
        <w:jc w:val="left"/>
        <w:rPr>
          <w:rFonts w:ascii="宋体" w:hAnsi="宋体" w:cs="Microsoft Sans Serif"/>
          <w:sz w:val="18"/>
          <w:szCs w:val="18"/>
        </w:rPr>
      </w:pPr>
      <w:r>
        <w:rPr>
          <w:rFonts w:ascii="宋体" w:hAnsi="宋体" w:cs="Microsoft Sans Serif" w:hint="eastAsia"/>
          <w:sz w:val="18"/>
          <w:szCs w:val="18"/>
        </w:rPr>
        <w:t>6、如果不可抗力原因或组展方及主办单位不可控制的原因导致本次展会发生变更或取消的，组展单位不承担违约责任。由于不可抗力造成的相应后果（包括但不限于费用等）由各方自行承担。</w:t>
      </w:r>
    </w:p>
    <w:p w:rsidR="00221DA5" w:rsidRDefault="00221DA5" w:rsidP="00221DA5">
      <w:pPr>
        <w:snapToGrid w:val="0"/>
        <w:spacing w:line="320" w:lineRule="exact"/>
        <w:ind w:leftChars="-200" w:left="-420" w:rightChars="-188" w:right="-395"/>
        <w:jc w:val="left"/>
        <w:rPr>
          <w:rFonts w:ascii="宋体" w:hAnsi="宋体" w:cs="Microsoft Sans Serif"/>
          <w:sz w:val="18"/>
          <w:szCs w:val="18"/>
        </w:rPr>
      </w:pPr>
      <w:r>
        <w:rPr>
          <w:rFonts w:ascii="宋体" w:hAnsi="宋体" w:cs="Microsoft Sans Serif" w:hint="eastAsia"/>
          <w:sz w:val="18"/>
          <w:szCs w:val="18"/>
        </w:rPr>
        <w:t>7、双方因参展发生争议，应友好协商解决，协商不成的，将争议提交组展单位所在地法院诉讼解决。</w:t>
      </w:r>
    </w:p>
    <w:p w:rsidR="00221DA5" w:rsidRDefault="00221DA5" w:rsidP="00221DA5">
      <w:pPr>
        <w:snapToGrid w:val="0"/>
        <w:spacing w:line="320" w:lineRule="exact"/>
        <w:ind w:leftChars="-200" w:left="-420" w:rightChars="-188" w:right="-395"/>
        <w:jc w:val="left"/>
        <w:rPr>
          <w:rFonts w:ascii="宋体" w:hAnsi="宋体" w:cs="Microsoft Sans Serif"/>
          <w:sz w:val="18"/>
          <w:szCs w:val="18"/>
        </w:rPr>
      </w:pPr>
      <w:r>
        <w:rPr>
          <w:rFonts w:ascii="宋体" w:hAnsi="宋体" w:cs="Microsoft Sans Serif" w:hint="eastAsia"/>
          <w:sz w:val="18"/>
          <w:szCs w:val="18"/>
        </w:rPr>
        <w:t>8、本申请表及参展须知（代合同书）一式二份，经双方签章确认后具有合同效力。签章后的传真件与原件具有同等效力。</w:t>
      </w:r>
    </w:p>
    <w:p w:rsidR="00221DA5" w:rsidRDefault="00221DA5" w:rsidP="00221DA5">
      <w:pPr>
        <w:snapToGrid w:val="0"/>
        <w:spacing w:line="320" w:lineRule="exact"/>
        <w:ind w:leftChars="-200" w:left="-420" w:rightChars="-188" w:right="-395"/>
        <w:jc w:val="left"/>
        <w:rPr>
          <w:rFonts w:ascii="宋体" w:hAnsi="宋体" w:cs="Microsoft Sans Serif"/>
          <w:sz w:val="18"/>
          <w:szCs w:val="18"/>
        </w:rPr>
      </w:pPr>
      <w:r>
        <w:rPr>
          <w:rFonts w:ascii="宋体" w:hAnsi="宋体" w:cs="Microsoft Sans Serif"/>
          <w:sz w:val="18"/>
          <w:szCs w:val="18"/>
        </w:rPr>
        <w:t>9</w:t>
      </w:r>
      <w:r>
        <w:rPr>
          <w:rFonts w:ascii="宋体" w:hAnsi="宋体" w:cs="Microsoft Sans Serif" w:hint="eastAsia"/>
          <w:sz w:val="18"/>
          <w:szCs w:val="18"/>
        </w:rPr>
        <w:t>、未尽事宜，按照招展通知及随后发放的各种相关通知的具体内容确定。</w:t>
      </w:r>
    </w:p>
    <w:p w:rsidR="00221DA5" w:rsidRDefault="00221DA5" w:rsidP="00221DA5">
      <w:pPr>
        <w:snapToGrid w:val="0"/>
        <w:spacing w:line="320" w:lineRule="exact"/>
        <w:ind w:leftChars="-200" w:left="-420" w:rightChars="-188" w:right="-395"/>
        <w:jc w:val="left"/>
        <w:rPr>
          <w:rFonts w:ascii="仿宋_GB2312" w:eastAsia="仿宋_GB2312" w:hAnsi="仿宋_GB2312" w:cs="仿宋_GB2312"/>
          <w:sz w:val="32"/>
          <w:szCs w:val="40"/>
        </w:rPr>
      </w:pPr>
    </w:p>
    <w:p w:rsidR="00221DA5" w:rsidRDefault="00221DA5" w:rsidP="00221DA5"/>
    <w:p w:rsidR="00221DA5" w:rsidRDefault="00221DA5" w:rsidP="00221DA5">
      <w:pPr>
        <w:jc w:val="left"/>
        <w:rPr>
          <w:rFonts w:ascii="华文仿宋" w:eastAsia="华文仿宋" w:hAnsi="华文仿宋" w:cs="华文仿宋"/>
          <w:b/>
          <w:bCs/>
          <w:sz w:val="32"/>
          <w:szCs w:val="32"/>
        </w:rPr>
      </w:pPr>
    </w:p>
    <w:p w:rsidR="00221DA5" w:rsidRDefault="00221DA5" w:rsidP="00221DA5">
      <w:pPr>
        <w:jc w:val="left"/>
        <w:rPr>
          <w:rFonts w:ascii="华文仿宋" w:eastAsia="华文仿宋" w:hAnsi="华文仿宋" w:cs="华文仿宋"/>
          <w:b/>
          <w:bCs/>
          <w:sz w:val="32"/>
          <w:szCs w:val="32"/>
        </w:rPr>
      </w:pPr>
    </w:p>
    <w:p w:rsidR="00221DA5" w:rsidRDefault="00221DA5" w:rsidP="00221DA5">
      <w:pPr>
        <w:jc w:val="left"/>
        <w:rPr>
          <w:rFonts w:ascii="华文仿宋" w:eastAsia="华文仿宋" w:hAnsi="华文仿宋" w:cs="华文仿宋"/>
          <w:b/>
          <w:bCs/>
          <w:sz w:val="32"/>
          <w:szCs w:val="32"/>
        </w:rPr>
      </w:pPr>
    </w:p>
    <w:p w:rsidR="00221DA5" w:rsidRDefault="00221DA5" w:rsidP="00221DA5">
      <w:pPr>
        <w:jc w:val="left"/>
        <w:rPr>
          <w:rFonts w:ascii="华文仿宋" w:eastAsia="华文仿宋" w:hAnsi="华文仿宋" w:cs="华文仿宋"/>
          <w:b/>
          <w:bCs/>
          <w:sz w:val="32"/>
          <w:szCs w:val="32"/>
        </w:rPr>
      </w:pPr>
    </w:p>
    <w:p w:rsidR="00221DA5" w:rsidRDefault="00221DA5" w:rsidP="00221DA5">
      <w:pPr>
        <w:jc w:val="left"/>
        <w:rPr>
          <w:rFonts w:ascii="华文仿宋" w:eastAsia="华文仿宋" w:hAnsi="华文仿宋" w:cs="华文仿宋"/>
          <w:b/>
          <w:bCs/>
          <w:sz w:val="32"/>
          <w:szCs w:val="32"/>
        </w:rPr>
      </w:pPr>
    </w:p>
    <w:p w:rsidR="00221DA5" w:rsidRDefault="00221DA5" w:rsidP="00221DA5">
      <w:pPr>
        <w:jc w:val="left"/>
        <w:rPr>
          <w:rFonts w:ascii="华文仿宋" w:eastAsia="华文仿宋" w:hAnsi="华文仿宋" w:cs="华文仿宋"/>
          <w:b/>
          <w:bCs/>
          <w:sz w:val="32"/>
          <w:szCs w:val="32"/>
        </w:rPr>
      </w:pPr>
    </w:p>
    <w:p w:rsidR="00221DA5" w:rsidRDefault="00221DA5" w:rsidP="00221DA5">
      <w:pPr>
        <w:jc w:val="left"/>
        <w:rPr>
          <w:rFonts w:ascii="华文仿宋" w:eastAsia="华文仿宋" w:hAnsi="华文仿宋" w:cs="华文仿宋"/>
          <w:b/>
          <w:bCs/>
          <w:sz w:val="32"/>
          <w:szCs w:val="32"/>
        </w:rPr>
      </w:pPr>
    </w:p>
    <w:p w:rsidR="00221DA5" w:rsidRDefault="00221DA5" w:rsidP="00221DA5">
      <w:pPr>
        <w:jc w:val="left"/>
        <w:rPr>
          <w:rFonts w:ascii="华文仿宋" w:eastAsia="华文仿宋" w:hAnsi="华文仿宋" w:cs="华文仿宋"/>
          <w:b/>
          <w:bCs/>
          <w:sz w:val="32"/>
          <w:szCs w:val="32"/>
        </w:rPr>
      </w:pPr>
    </w:p>
    <w:p w:rsidR="00221DA5" w:rsidRDefault="00221DA5" w:rsidP="00221DA5">
      <w:pPr>
        <w:jc w:val="left"/>
        <w:rPr>
          <w:rFonts w:ascii="华文仿宋" w:eastAsia="华文仿宋" w:hAnsi="华文仿宋" w:cs="华文仿宋"/>
          <w:b/>
          <w:bCs/>
          <w:sz w:val="32"/>
          <w:szCs w:val="32"/>
        </w:rPr>
      </w:pPr>
    </w:p>
    <w:p w:rsidR="00221DA5" w:rsidRDefault="00221DA5" w:rsidP="00221DA5">
      <w:pPr>
        <w:jc w:val="left"/>
        <w:rPr>
          <w:rFonts w:ascii="华文仿宋" w:eastAsia="华文仿宋" w:hAnsi="华文仿宋" w:cs="华文仿宋"/>
          <w:b/>
          <w:bCs/>
          <w:sz w:val="32"/>
          <w:szCs w:val="32"/>
        </w:rPr>
      </w:pPr>
    </w:p>
    <w:p w:rsidR="00221DA5" w:rsidRDefault="00221DA5" w:rsidP="00221DA5">
      <w:pPr>
        <w:jc w:val="left"/>
        <w:rPr>
          <w:rFonts w:ascii="华文仿宋" w:eastAsia="华文仿宋" w:hAnsi="华文仿宋" w:cs="华文仿宋"/>
          <w:b/>
          <w:bCs/>
          <w:sz w:val="32"/>
          <w:szCs w:val="32"/>
        </w:rPr>
      </w:pPr>
    </w:p>
    <w:p w:rsidR="00221DA5" w:rsidRDefault="00221DA5" w:rsidP="00221DA5">
      <w:pPr>
        <w:jc w:val="left"/>
        <w:rPr>
          <w:rFonts w:ascii="华文仿宋" w:eastAsia="华文仿宋" w:hAnsi="华文仿宋" w:cs="华文仿宋"/>
          <w:b/>
          <w:bCs/>
          <w:sz w:val="32"/>
          <w:szCs w:val="32"/>
        </w:rPr>
      </w:pPr>
    </w:p>
    <w:p w:rsidR="004B7EAB" w:rsidRDefault="00221DA5" w:rsidP="00221DA5">
      <w:pPr>
        <w:jc w:val="left"/>
        <w:rPr>
          <w:rFonts w:ascii="华文仿宋" w:eastAsia="华文仿宋" w:hAnsi="华文仿宋" w:cs="华文仿宋" w:hint="eastAsia"/>
          <w:bCs/>
          <w:sz w:val="32"/>
          <w:szCs w:val="32"/>
        </w:rPr>
      </w:pPr>
      <w:r>
        <w:rPr>
          <w:rFonts w:ascii="华文仿宋" w:eastAsia="华文仿宋" w:hAnsi="华文仿宋" w:cs="华文仿宋" w:hint="eastAsia"/>
          <w:b/>
          <w:bCs/>
          <w:sz w:val="32"/>
          <w:szCs w:val="32"/>
        </w:rPr>
        <w:lastRenderedPageBreak/>
        <w:t>附件2</w:t>
      </w:r>
      <w:r>
        <w:rPr>
          <w:rFonts w:ascii="华文仿宋" w:eastAsia="华文仿宋" w:hAnsi="华文仿宋" w:cs="华文仿宋" w:hint="eastAsia"/>
          <w:bCs/>
          <w:sz w:val="32"/>
          <w:szCs w:val="32"/>
        </w:rPr>
        <w:t xml:space="preserve">            </w:t>
      </w:r>
      <w:r>
        <w:rPr>
          <w:rFonts w:ascii="华文仿宋" w:eastAsia="华文仿宋" w:hAnsi="华文仿宋" w:cs="华文仿宋"/>
          <w:bCs/>
          <w:sz w:val="32"/>
          <w:szCs w:val="32"/>
        </w:rPr>
        <w:t xml:space="preserve">   </w:t>
      </w:r>
    </w:p>
    <w:p w:rsidR="00221DA5" w:rsidRDefault="00221DA5" w:rsidP="004B7EAB">
      <w:pPr>
        <w:spacing w:after="100" w:afterAutospacing="1"/>
        <w:jc w:val="center"/>
        <w:rPr>
          <w:rFonts w:ascii="Verdana"/>
          <w:b/>
          <w:bCs/>
          <w:sz w:val="44"/>
          <w:szCs w:val="44"/>
        </w:rPr>
      </w:pPr>
      <w:r>
        <w:rPr>
          <w:rFonts w:ascii="Verdana" w:hint="eastAsia"/>
          <w:b/>
          <w:bCs/>
          <w:sz w:val="44"/>
          <w:szCs w:val="44"/>
        </w:rPr>
        <w:t>市场情况</w:t>
      </w:r>
    </w:p>
    <w:p w:rsidR="00221DA5" w:rsidRDefault="00221DA5" w:rsidP="00221DA5">
      <w:pPr>
        <w:pStyle w:val="a3"/>
        <w:spacing w:before="0" w:beforeAutospacing="0" w:after="0" w:afterAutospacing="0" w:line="450" w:lineRule="atLeast"/>
        <w:ind w:firstLineChars="200" w:firstLine="641"/>
        <w:rPr>
          <w:rFonts w:ascii="华文仿宋" w:eastAsia="华文仿宋" w:hAnsi="华文仿宋" w:cs="华文仿宋"/>
          <w:b/>
          <w:bCs/>
          <w:kern w:val="2"/>
          <w:sz w:val="32"/>
          <w:szCs w:val="32"/>
        </w:rPr>
      </w:pPr>
      <w:r>
        <w:rPr>
          <w:rFonts w:ascii="华文仿宋" w:eastAsia="华文仿宋" w:hAnsi="华文仿宋" w:cs="华文仿宋" w:hint="eastAsia"/>
          <w:b/>
          <w:bCs/>
          <w:kern w:val="2"/>
          <w:sz w:val="32"/>
          <w:szCs w:val="32"/>
        </w:rPr>
        <w:t>一、国家情况</w:t>
      </w:r>
    </w:p>
    <w:p w:rsidR="00221DA5" w:rsidRDefault="00221DA5" w:rsidP="00221DA5">
      <w:pPr>
        <w:ind w:firstLineChars="200" w:firstLine="640"/>
        <w:jc w:val="left"/>
        <w:rPr>
          <w:rFonts w:ascii="华文仿宋" w:eastAsia="华文仿宋" w:hAnsi="华文仿宋" w:cs="华文仿宋"/>
          <w:bCs/>
          <w:sz w:val="32"/>
          <w:szCs w:val="32"/>
        </w:rPr>
      </w:pPr>
      <w:r>
        <w:rPr>
          <w:rFonts w:ascii="华文仿宋" w:eastAsia="华文仿宋" w:hAnsi="华文仿宋" w:cs="华文仿宋" w:hint="eastAsia"/>
          <w:bCs/>
          <w:sz w:val="32"/>
          <w:szCs w:val="32"/>
        </w:rPr>
        <w:t xml:space="preserve">摩洛哥王国位于非洲西北部，与阿尔及利亚、西撒哈拉、大西洋相邻，北隔直布罗陀海峡与西班牙相望，扼地中海入大西洋的门户，国土面积44.65万平方公里，总人口3322万，人均GDP2832美元。地理位置优越，交通便利海运发达，自然资源丰富，被誉为西非门户。 </w:t>
      </w:r>
    </w:p>
    <w:p w:rsidR="00221DA5" w:rsidRDefault="00221DA5" w:rsidP="00221DA5">
      <w:pPr>
        <w:ind w:firstLineChars="200" w:firstLine="640"/>
        <w:jc w:val="left"/>
        <w:rPr>
          <w:rFonts w:ascii="华文仿宋" w:eastAsia="华文仿宋" w:hAnsi="华文仿宋" w:cs="华文仿宋"/>
          <w:bCs/>
          <w:sz w:val="32"/>
          <w:szCs w:val="32"/>
        </w:rPr>
      </w:pPr>
      <w:r>
        <w:rPr>
          <w:rFonts w:ascii="华文仿宋" w:eastAsia="华文仿宋" w:hAnsi="华文仿宋" w:cs="华文仿宋" w:hint="eastAsia"/>
          <w:bCs/>
          <w:sz w:val="32"/>
          <w:szCs w:val="32"/>
        </w:rPr>
        <w:t>中摩关系自建交以来，关系友好稳定，自“一带一路”政策实施以来，摩洛哥逐渐成为战略支撑点。2016年摩洛哥给予中国公民免签政策，对中摩合作及贸易往来更加有利。随着摩洛哥市场自由化及政策逐渐开放，摩洛哥重点行业市场潜力巨大，合作空间广阔。</w:t>
      </w:r>
    </w:p>
    <w:p w:rsidR="00221DA5" w:rsidRDefault="00221DA5" w:rsidP="00221DA5">
      <w:pPr>
        <w:ind w:firstLineChars="200" w:firstLine="640"/>
        <w:jc w:val="left"/>
        <w:rPr>
          <w:rFonts w:ascii="华文仿宋" w:eastAsia="华文仿宋" w:hAnsi="华文仿宋" w:cs="华文仿宋"/>
          <w:bCs/>
          <w:sz w:val="32"/>
          <w:szCs w:val="32"/>
        </w:rPr>
      </w:pPr>
      <w:r>
        <w:rPr>
          <w:rFonts w:ascii="华文仿宋" w:eastAsia="华文仿宋" w:hAnsi="华文仿宋" w:cs="华文仿宋" w:hint="eastAsia"/>
          <w:bCs/>
          <w:sz w:val="32"/>
          <w:szCs w:val="32"/>
        </w:rPr>
        <w:t>摩洛哥濒临欧洲，与欧盟、美国及部分阿拉伯和非洲国家签订了自贸区协定，覆盖10亿消费者市场，值得引起各国投资者的关注。明显的区位优势使摩洛哥成为连接欧盟、阿拉伯世界和非洲三大市场的枢纽。</w:t>
      </w:r>
    </w:p>
    <w:p w:rsidR="00221DA5" w:rsidRDefault="00221DA5" w:rsidP="00221DA5">
      <w:pPr>
        <w:ind w:firstLineChars="200" w:firstLine="641"/>
        <w:jc w:val="left"/>
        <w:rPr>
          <w:rFonts w:ascii="华文仿宋" w:eastAsia="华文仿宋" w:hAnsi="华文仿宋" w:cs="华文仿宋"/>
          <w:b/>
          <w:bCs/>
          <w:sz w:val="32"/>
          <w:szCs w:val="32"/>
        </w:rPr>
      </w:pPr>
      <w:r>
        <w:rPr>
          <w:rFonts w:ascii="华文仿宋" w:eastAsia="华文仿宋" w:hAnsi="华文仿宋" w:cs="华文仿宋" w:hint="eastAsia"/>
          <w:b/>
          <w:bCs/>
          <w:sz w:val="32"/>
          <w:szCs w:val="32"/>
        </w:rPr>
        <w:t>二、房地产市场</w:t>
      </w:r>
    </w:p>
    <w:p w:rsidR="00221DA5" w:rsidRDefault="00221DA5" w:rsidP="00221DA5">
      <w:pPr>
        <w:ind w:firstLineChars="200" w:firstLine="640"/>
        <w:jc w:val="left"/>
        <w:rPr>
          <w:rFonts w:ascii="华文仿宋" w:eastAsia="华文仿宋" w:hAnsi="华文仿宋" w:cs="华文仿宋"/>
          <w:bCs/>
          <w:sz w:val="32"/>
          <w:szCs w:val="32"/>
        </w:rPr>
      </w:pPr>
      <w:r>
        <w:rPr>
          <w:rFonts w:ascii="华文仿宋" w:eastAsia="华文仿宋" w:hAnsi="华文仿宋" w:cs="华文仿宋" w:hint="eastAsia"/>
          <w:bCs/>
          <w:sz w:val="32"/>
          <w:szCs w:val="32"/>
        </w:rPr>
        <w:t>摩洛哥作为美欧非与中东地区的连接，具有优越的地理位置，拥有十亿消费者。摩洛哥在2004年与美国土耳其签署了双边自由贸易协议，对其经济发展有很大帮助。随着经济发展，大量办公楼也在兴建中，对家居装饰的需求也在扩大。</w:t>
      </w:r>
      <w:r>
        <w:rPr>
          <w:rFonts w:ascii="华文仿宋" w:eastAsia="华文仿宋" w:hAnsi="华文仿宋" w:cs="华文仿宋" w:hint="eastAsia"/>
          <w:bCs/>
          <w:sz w:val="32"/>
          <w:szCs w:val="32"/>
        </w:rPr>
        <w:lastRenderedPageBreak/>
        <w:t>2015年摩洛哥建筑公司与大西洋银行联合，出资32亿迪拉姆（约合4亿美元），建设8座医院及800套住房。在刚果布，摩洛哥建筑公司将参与包括体育中心、医疗中心、办公楼及酒店的施工，计划投资22亿迪拉姆（约合2.67亿美元），因此北非整体家具市场前景相当乐观。</w:t>
      </w:r>
    </w:p>
    <w:p w:rsidR="00221DA5" w:rsidRDefault="00221DA5" w:rsidP="00221DA5">
      <w:pPr>
        <w:ind w:firstLineChars="200" w:firstLine="640"/>
        <w:jc w:val="left"/>
        <w:rPr>
          <w:rFonts w:ascii="华文仿宋" w:eastAsia="华文仿宋" w:hAnsi="华文仿宋" w:cs="华文仿宋"/>
          <w:bCs/>
          <w:sz w:val="32"/>
          <w:szCs w:val="32"/>
        </w:rPr>
      </w:pPr>
      <w:r>
        <w:rPr>
          <w:rFonts w:ascii="华文仿宋" w:eastAsia="华文仿宋" w:hAnsi="华文仿宋" w:cs="华文仿宋" w:hint="eastAsia"/>
          <w:bCs/>
          <w:sz w:val="32"/>
          <w:szCs w:val="32"/>
        </w:rPr>
        <w:t>摩洛哥政府也非常支持外国公司到本地投资。私营化为家具行业稳定提供了非常好的条件，过去几年家具行业的进口都呈现出增长态势。由于地缘政治影响，摩洛哥2014年经济增长较2013年有所放缓， 而2017年人均GDP达到3007美元，同比增长为4%。</w:t>
      </w:r>
    </w:p>
    <w:p w:rsidR="00221DA5" w:rsidRPr="004B7EAB" w:rsidRDefault="00221DA5" w:rsidP="004B7EAB">
      <w:pPr>
        <w:ind w:firstLineChars="200" w:firstLine="641"/>
        <w:jc w:val="left"/>
        <w:rPr>
          <w:rFonts w:ascii="华文仿宋" w:eastAsia="华文仿宋" w:hAnsi="华文仿宋" w:cs="华文仿宋"/>
          <w:b/>
          <w:bCs/>
          <w:sz w:val="32"/>
          <w:szCs w:val="32"/>
        </w:rPr>
      </w:pPr>
      <w:r w:rsidRPr="004B7EAB">
        <w:rPr>
          <w:rFonts w:ascii="华文仿宋" w:eastAsia="华文仿宋" w:hAnsi="华文仿宋" w:cs="华文仿宋" w:hint="eastAsia"/>
          <w:b/>
          <w:bCs/>
          <w:sz w:val="32"/>
          <w:szCs w:val="32"/>
        </w:rPr>
        <w:t>新建项目：</w:t>
      </w:r>
    </w:p>
    <w:p w:rsidR="00221DA5" w:rsidRDefault="00221DA5" w:rsidP="00221DA5">
      <w:pPr>
        <w:ind w:firstLineChars="200" w:firstLine="640"/>
        <w:jc w:val="left"/>
        <w:rPr>
          <w:rFonts w:ascii="华文仿宋" w:eastAsia="华文仿宋" w:hAnsi="华文仿宋" w:cs="华文仿宋"/>
          <w:bCs/>
          <w:sz w:val="32"/>
          <w:szCs w:val="32"/>
        </w:rPr>
      </w:pPr>
      <w:r>
        <w:rPr>
          <w:rFonts w:ascii="华文仿宋" w:eastAsia="华文仿宋" w:hAnsi="华文仿宋" w:cs="华文仿宋" w:hint="eastAsia"/>
          <w:bCs/>
          <w:sz w:val="32"/>
          <w:szCs w:val="32"/>
        </w:rPr>
        <w:t>2017年7月20日，中铁建国际与项目联合体合作伙伴摩TGCC公司共同和业主摩外贸银行（BMCE）签署“拉巴特塔”项目的设计施工总承包合同。合同金额37.32亿迪拉姆，约合3.8亿美元。总工期45个月，主体工程36个月，装饰工程9个月。项目地点位于摩首都拉巴特市布雷格雷格（Bourgreg）河谷地带，占地3万平方米，总建筑面积8.5万平方米，主体塔楼52层，设计高度250米，包括酒店、办公和高档公寓三大主要功能，有望成为摩洛哥现代化地标性建筑。</w:t>
      </w:r>
    </w:p>
    <w:p w:rsidR="00221DA5" w:rsidRDefault="00221DA5" w:rsidP="00221DA5">
      <w:pPr>
        <w:ind w:firstLineChars="200" w:firstLine="641"/>
        <w:jc w:val="left"/>
        <w:rPr>
          <w:rFonts w:ascii="华文仿宋" w:eastAsia="华文仿宋" w:hAnsi="华文仿宋" w:cs="华文仿宋"/>
          <w:b/>
          <w:bCs/>
          <w:sz w:val="32"/>
          <w:szCs w:val="32"/>
        </w:rPr>
      </w:pPr>
      <w:r>
        <w:rPr>
          <w:rFonts w:ascii="华文仿宋" w:eastAsia="华文仿宋" w:hAnsi="华文仿宋" w:cs="华文仿宋" w:hint="eastAsia"/>
          <w:b/>
          <w:bCs/>
          <w:sz w:val="32"/>
          <w:szCs w:val="32"/>
        </w:rPr>
        <w:t>三、建材市场需求量大</w:t>
      </w:r>
    </w:p>
    <w:p w:rsidR="00221DA5" w:rsidRDefault="00221DA5" w:rsidP="00221DA5">
      <w:pPr>
        <w:ind w:firstLineChars="200" w:firstLine="640"/>
        <w:jc w:val="left"/>
        <w:rPr>
          <w:rFonts w:ascii="华文仿宋" w:eastAsia="华文仿宋" w:hAnsi="华文仿宋" w:cs="华文仿宋"/>
          <w:bCs/>
          <w:sz w:val="32"/>
          <w:szCs w:val="32"/>
        </w:rPr>
      </w:pPr>
      <w:r>
        <w:rPr>
          <w:rFonts w:ascii="华文仿宋" w:eastAsia="华文仿宋" w:hAnsi="华文仿宋" w:cs="华文仿宋" w:hint="eastAsia"/>
          <w:bCs/>
          <w:sz w:val="32"/>
          <w:szCs w:val="32"/>
        </w:rPr>
        <w:t>摩洛哥建筑业近些年主要推动力来自于基础设施、能源</w:t>
      </w:r>
      <w:r>
        <w:rPr>
          <w:rFonts w:ascii="华文仿宋" w:eastAsia="华文仿宋" w:hAnsi="华文仿宋" w:cs="华文仿宋" w:hint="eastAsia"/>
          <w:bCs/>
          <w:sz w:val="32"/>
          <w:szCs w:val="32"/>
        </w:rPr>
        <w:lastRenderedPageBreak/>
        <w:t>和新建住宅项目的投资。摩洛哥人口增长(每年增长4%)和城市化进程的增长正在推动住房需求，当地政府正在扩大其社会公益住房项目。缺乏住房是一个首要问题，尽管已建成的房屋数量相对较多，但相对于所需求的房屋数量来说仍然比较低。据城市政策部长介绍，在2014年，全国住房短缺达64.2万套。为了保持供需平衡，每年必须新建约17万个住房。</w:t>
      </w:r>
    </w:p>
    <w:p w:rsidR="00221DA5" w:rsidRDefault="00221DA5" w:rsidP="00221DA5">
      <w:pPr>
        <w:ind w:firstLineChars="200" w:firstLine="640"/>
        <w:jc w:val="left"/>
        <w:rPr>
          <w:rFonts w:ascii="华文仿宋" w:eastAsia="华文仿宋" w:hAnsi="华文仿宋" w:cs="华文仿宋"/>
          <w:bCs/>
          <w:sz w:val="32"/>
          <w:szCs w:val="32"/>
        </w:rPr>
      </w:pPr>
      <w:r>
        <w:rPr>
          <w:rFonts w:ascii="华文仿宋" w:eastAsia="华文仿宋" w:hAnsi="华文仿宋" w:cs="华文仿宋" w:hint="eastAsia"/>
          <w:bCs/>
          <w:sz w:val="32"/>
          <w:szCs w:val="32"/>
        </w:rPr>
        <w:t>摩洛哥政府还推出了新城项目，目的是到2020年建设15个新城市，这个方案能够提供大量价格具有竞争力的税收优惠土地。摩洛哥还在大城市附近建设“绿色中心”，以便在保护环境的同时，创造出多元化的房屋供应(例如，距离卡萨布兰卡10公里的bouskoura 绿色高尔夫城)。同时，为了鼓励私立学校的建设，政府已经设立了fopep(fonds de promotion de l‘enseignementprivé)来共同资助这些项目。</w:t>
      </w:r>
    </w:p>
    <w:p w:rsidR="00221DA5" w:rsidRDefault="00221DA5" w:rsidP="00221DA5">
      <w:pPr>
        <w:ind w:firstLineChars="200" w:firstLine="641"/>
        <w:jc w:val="left"/>
        <w:rPr>
          <w:rFonts w:ascii="华文仿宋" w:eastAsia="华文仿宋" w:hAnsi="华文仿宋" w:cs="华文仿宋"/>
          <w:b/>
          <w:bCs/>
          <w:sz w:val="32"/>
          <w:szCs w:val="32"/>
        </w:rPr>
      </w:pPr>
      <w:r>
        <w:rPr>
          <w:rFonts w:ascii="华文仿宋" w:eastAsia="华文仿宋" w:hAnsi="华文仿宋" w:cs="华文仿宋" w:hint="eastAsia"/>
          <w:b/>
          <w:bCs/>
          <w:sz w:val="32"/>
          <w:szCs w:val="32"/>
        </w:rPr>
        <w:t>四、大力发展基础建设</w:t>
      </w:r>
    </w:p>
    <w:p w:rsidR="00221DA5" w:rsidRDefault="00221DA5" w:rsidP="00221DA5">
      <w:pPr>
        <w:ind w:firstLineChars="200" w:firstLine="640"/>
        <w:jc w:val="left"/>
        <w:rPr>
          <w:rFonts w:ascii="华文仿宋" w:eastAsia="华文仿宋" w:hAnsi="华文仿宋" w:cs="华文仿宋"/>
          <w:bCs/>
          <w:sz w:val="32"/>
          <w:szCs w:val="32"/>
        </w:rPr>
      </w:pPr>
      <w:r>
        <w:rPr>
          <w:rFonts w:ascii="华文仿宋" w:eastAsia="华文仿宋" w:hAnsi="华文仿宋" w:cs="华文仿宋" w:hint="eastAsia"/>
          <w:bCs/>
          <w:sz w:val="32"/>
          <w:szCs w:val="32"/>
        </w:rPr>
        <w:t>摩洛哥正是一个稳定发展的国家，近几年来正大力发展基础建设，其中公路网，机场现代化，轻轨路线及丹吉尔地中海新港的建设，都大幅促进了建材市场的活跃发展。其建筑业市场的蓬勃发展还表现在 15 座新城和发展旅游景区的城建项目，对现有城市进行改造及现代化，大力新建社区住房、工业区、学校等基础设施建设的规划。</w:t>
      </w:r>
    </w:p>
    <w:p w:rsidR="00221DA5" w:rsidRDefault="00221DA5" w:rsidP="00221DA5">
      <w:pPr>
        <w:ind w:firstLineChars="200" w:firstLine="640"/>
        <w:jc w:val="left"/>
        <w:rPr>
          <w:rFonts w:ascii="华文仿宋" w:eastAsia="华文仿宋" w:hAnsi="华文仿宋" w:cs="华文仿宋"/>
          <w:bCs/>
          <w:sz w:val="32"/>
          <w:szCs w:val="32"/>
        </w:rPr>
      </w:pPr>
      <w:r>
        <w:rPr>
          <w:rFonts w:ascii="华文仿宋" w:eastAsia="华文仿宋" w:hAnsi="华文仿宋" w:cs="华文仿宋" w:hint="eastAsia"/>
          <w:bCs/>
          <w:sz w:val="32"/>
          <w:szCs w:val="32"/>
        </w:rPr>
        <w:t>根据2035年道路规划，摩将修建3400公里的高速公路和2100公里的快速路，总投资额约960亿迪拉姆。此外，对</w:t>
      </w:r>
      <w:r>
        <w:rPr>
          <w:rFonts w:ascii="华文仿宋" w:eastAsia="华文仿宋" w:hAnsi="华文仿宋" w:cs="华文仿宋" w:hint="eastAsia"/>
          <w:bCs/>
          <w:sz w:val="32"/>
          <w:szCs w:val="32"/>
        </w:rPr>
        <w:lastRenderedPageBreak/>
        <w:t>现有的7000公里道路进行翻新以及在乡村地区新建30000公里道路，还将投资约850亿迪拉姆。摩洛哥拉巴特-塞累有轨电车2号线的延长工程有望在今年底前动工，耗资约16亿迪拉姆。摩洛哥《经济学家报》8月11日报道，摩洛哥为保障饮用水安全、发电和灌溉，将新建两个大坝，总投资预计17亿迪拉姆。</w:t>
      </w:r>
    </w:p>
    <w:p w:rsidR="00824356" w:rsidRDefault="00221DA5" w:rsidP="004B7EAB">
      <w:pPr>
        <w:ind w:firstLineChars="200" w:firstLine="640"/>
      </w:pPr>
      <w:r>
        <w:rPr>
          <w:rFonts w:ascii="华文仿宋" w:eastAsia="华文仿宋" w:hAnsi="华文仿宋" w:cs="华文仿宋" w:hint="eastAsia"/>
          <w:bCs/>
          <w:sz w:val="32"/>
          <w:szCs w:val="32"/>
        </w:rPr>
        <w:t>近年来</w:t>
      </w:r>
      <w:r w:rsidR="004B7EAB">
        <w:rPr>
          <w:rFonts w:ascii="华文仿宋" w:eastAsia="华文仿宋" w:hAnsi="华文仿宋" w:cs="华文仿宋" w:hint="eastAsia"/>
          <w:bCs/>
          <w:sz w:val="32"/>
          <w:szCs w:val="32"/>
        </w:rPr>
        <w:t>，</w:t>
      </w:r>
      <w:r>
        <w:rPr>
          <w:rFonts w:ascii="华文仿宋" w:eastAsia="华文仿宋" w:hAnsi="华文仿宋" w:cs="华文仿宋" w:hint="eastAsia"/>
          <w:bCs/>
          <w:sz w:val="32"/>
          <w:szCs w:val="32"/>
        </w:rPr>
        <w:t>摩洛哥房地产业发展迅猛,与之相关的水泥、瓷砖等产业的投资都相应大幅度提高</w:t>
      </w:r>
      <w:r w:rsidR="004B7EAB">
        <w:rPr>
          <w:rFonts w:ascii="华文仿宋" w:eastAsia="华文仿宋" w:hAnsi="华文仿宋" w:cs="华文仿宋" w:hint="eastAsia"/>
          <w:bCs/>
          <w:sz w:val="32"/>
          <w:szCs w:val="32"/>
        </w:rPr>
        <w:t>，</w:t>
      </w:r>
      <w:r>
        <w:rPr>
          <w:rFonts w:ascii="华文仿宋" w:eastAsia="华文仿宋" w:hAnsi="华文仿宋" w:cs="华文仿宋" w:hint="eastAsia"/>
          <w:bCs/>
          <w:sz w:val="32"/>
          <w:szCs w:val="32"/>
        </w:rPr>
        <w:t>惟独石材业的发展停滞不前，缺乏相关法律规范石材市场、开采地基础设施落后、运输成本过高等是阻碍摩石材业发展的主要原因。此外</w:t>
      </w:r>
      <w:r w:rsidR="004B7EAB">
        <w:rPr>
          <w:rFonts w:ascii="华文仿宋" w:eastAsia="华文仿宋" w:hAnsi="华文仿宋" w:cs="华文仿宋" w:hint="eastAsia"/>
          <w:bCs/>
          <w:sz w:val="32"/>
          <w:szCs w:val="32"/>
        </w:rPr>
        <w:t>，</w:t>
      </w:r>
      <w:r>
        <w:rPr>
          <w:rFonts w:ascii="华文仿宋" w:eastAsia="华文仿宋" w:hAnsi="华文仿宋" w:cs="华文仿宋" w:hint="eastAsia"/>
          <w:bCs/>
          <w:sz w:val="32"/>
          <w:szCs w:val="32"/>
        </w:rPr>
        <w:t>摩洛哥相关部门在技术研发、职业培训及高级专业人才培养方面的投入不够</w:t>
      </w:r>
      <w:r w:rsidR="004B7EAB">
        <w:rPr>
          <w:rFonts w:ascii="华文仿宋" w:eastAsia="华文仿宋" w:hAnsi="华文仿宋" w:cs="华文仿宋" w:hint="eastAsia"/>
          <w:bCs/>
          <w:sz w:val="32"/>
          <w:szCs w:val="32"/>
        </w:rPr>
        <w:t>，</w:t>
      </w:r>
      <w:r>
        <w:rPr>
          <w:rFonts w:ascii="华文仿宋" w:eastAsia="华文仿宋" w:hAnsi="华文仿宋" w:cs="华文仿宋" w:hint="eastAsia"/>
          <w:bCs/>
          <w:sz w:val="32"/>
          <w:szCs w:val="32"/>
        </w:rPr>
        <w:t>导致石材从业人员的技术水平普遍落后</w:t>
      </w:r>
      <w:r w:rsidR="004B7EAB">
        <w:rPr>
          <w:rFonts w:ascii="华文仿宋" w:eastAsia="华文仿宋" w:hAnsi="华文仿宋" w:cs="华文仿宋" w:hint="eastAsia"/>
          <w:bCs/>
          <w:sz w:val="32"/>
          <w:szCs w:val="32"/>
        </w:rPr>
        <w:t>，</w:t>
      </w:r>
      <w:r>
        <w:rPr>
          <w:rFonts w:ascii="华文仿宋" w:eastAsia="华文仿宋" w:hAnsi="华文仿宋" w:cs="华文仿宋" w:hint="eastAsia"/>
          <w:bCs/>
          <w:sz w:val="32"/>
          <w:szCs w:val="32"/>
        </w:rPr>
        <w:t>生产能力低下</w:t>
      </w:r>
      <w:r w:rsidR="004B7EAB">
        <w:rPr>
          <w:rFonts w:ascii="华文仿宋" w:eastAsia="华文仿宋" w:hAnsi="华文仿宋" w:cs="华文仿宋" w:hint="eastAsia"/>
          <w:bCs/>
          <w:sz w:val="32"/>
          <w:szCs w:val="32"/>
        </w:rPr>
        <w:t>，</w:t>
      </w:r>
      <w:r>
        <w:rPr>
          <w:rFonts w:ascii="华文仿宋" w:eastAsia="华文仿宋" w:hAnsi="华文仿宋" w:cs="华文仿宋" w:hint="eastAsia"/>
          <w:bCs/>
          <w:sz w:val="32"/>
          <w:szCs w:val="32"/>
        </w:rPr>
        <w:t>无法满足市场需求</w:t>
      </w:r>
      <w:r w:rsidR="004B7EAB">
        <w:rPr>
          <w:rFonts w:ascii="华文仿宋" w:eastAsia="华文仿宋" w:hAnsi="华文仿宋" w:cs="华文仿宋" w:hint="eastAsia"/>
          <w:bCs/>
          <w:sz w:val="32"/>
          <w:szCs w:val="32"/>
        </w:rPr>
        <w:t>，</w:t>
      </w:r>
      <w:r>
        <w:rPr>
          <w:rFonts w:ascii="华文仿宋" w:eastAsia="华文仿宋" w:hAnsi="华文仿宋" w:cs="华文仿宋" w:hint="eastAsia"/>
          <w:bCs/>
          <w:sz w:val="32"/>
          <w:szCs w:val="32"/>
        </w:rPr>
        <w:t>摩洛哥建材市场潜力巨大。</w:t>
      </w:r>
    </w:p>
    <w:sectPr w:rsidR="00824356" w:rsidSect="008243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B18" w:rsidRDefault="00486B18" w:rsidP="004B7EAB">
      <w:r>
        <w:separator/>
      </w:r>
    </w:p>
  </w:endnote>
  <w:endnote w:type="continuationSeparator" w:id="1">
    <w:p w:rsidR="00486B18" w:rsidRDefault="00486B18" w:rsidP="004B7E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B18" w:rsidRDefault="00486B18" w:rsidP="004B7EAB">
      <w:r>
        <w:separator/>
      </w:r>
    </w:p>
  </w:footnote>
  <w:footnote w:type="continuationSeparator" w:id="1">
    <w:p w:rsidR="00486B18" w:rsidRDefault="00486B18" w:rsidP="004B7E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1DA5"/>
    <w:rsid w:val="00221DA5"/>
    <w:rsid w:val="00486B18"/>
    <w:rsid w:val="004B7EAB"/>
    <w:rsid w:val="0052097E"/>
    <w:rsid w:val="00824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D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221DA5"/>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4B7E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B7EAB"/>
    <w:rPr>
      <w:rFonts w:ascii="Times New Roman" w:eastAsia="宋体" w:hAnsi="Times New Roman" w:cs="Times New Roman"/>
      <w:sz w:val="18"/>
      <w:szCs w:val="18"/>
    </w:rPr>
  </w:style>
  <w:style w:type="paragraph" w:styleId="a5">
    <w:name w:val="footer"/>
    <w:basedOn w:val="a"/>
    <w:link w:val="Char0"/>
    <w:uiPriority w:val="99"/>
    <w:semiHidden/>
    <w:unhideWhenUsed/>
    <w:rsid w:val="004B7EA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B7EA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JKY</dc:creator>
  <cp:lastModifiedBy>JKY</cp:lastModifiedBy>
  <cp:revision>2</cp:revision>
  <dcterms:created xsi:type="dcterms:W3CDTF">2019-07-15T13:25:00Z</dcterms:created>
  <dcterms:modified xsi:type="dcterms:W3CDTF">2019-07-15T14:22:00Z</dcterms:modified>
</cp:coreProperties>
</file>